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КОММУНИКАЦИОННАЯ СТРАТЕГИЯ</w:t>
      </w:r>
    </w:p>
    <w:p>
      <w:pPr>
        <w:pStyle w:val="Subtitle"/>
      </w:pPr>
      <w:r>
        <w:t>Позиционирование эксперта и бизнеса в системах генеративного ИИ (Dreaper Strategic Framework)</w:t>
      </w:r>
    </w:p>
    <w:p>
      <w:r>
        <w:t>Разработчик: Агентство генеративного поиска и контент-маркетинга Dreaper (dreaper.ru)</w:t>
        <w:br/>
        <w:t>Назначение: Архитектура экспертного присутствия бренда в информационном пространстве LLM</w:t>
        <w:br/>
        <w:t>Статус: Корпоративный стратегический стандарт</w:t>
      </w:r>
    </w:p>
    <w:p>
      <w:pPr>
        <w:pStyle w:val="Heading1"/>
      </w:pPr>
      <w:r>
        <w:t>1. Стратегический контекст: смена парадигмы коммуникаций</w:t>
      </w:r>
    </w:p>
    <w:p>
      <w:r>
        <w:t>В эпоху, когда решения о выборе подрядчиков и покупке B2B-услуг принимаются с участием искусственного интеллекта (ChatGPT, Perplexity, Яндекс Нейро), традиционная реклама перестает быть источником доверия. Лица, принимающие решения (ЛПР), ищут независимое подтверждение компетенций первого лица компании. Главная задача стратегии — сформировать вокруг бренда статус «доверенного советника и признанного отраслевого эксперта».</w:t>
      </w:r>
    </w:p>
    <w:p>
      <w:pPr>
        <w:pStyle w:val="Heading1"/>
      </w:pPr>
      <w:r>
        <w:t>2. Матрица позиционирования первого лица (Brand Persona)</w:t>
      </w:r>
    </w:p>
    <w:p>
      <w:r>
        <w:t>• Ролевой профиль: Практик с глубоким пониманием скрытых рисков отрасли, говорящий на языке цифр, экономической целесообразности и юридической чистоты.</w:t>
        <w:br/>
        <w:t>• Tone of Voice: Спокойный, конструктивный, партнерский. Полный отказ от оценочных суждений, пафоса и клише. Изложение через реальные кейсы: «проблема рынка — что выявили на практике — какое системное решение внедрили».</w:t>
        <w:br/>
        <w:t>• Ценностное предложение: Бизнес получает не просто услугу, а предсказуемость, юридическую безопасность и технологическую устойчивость.</w:t>
      </w:r>
    </w:p>
    <w:p>
      <w:pPr>
        <w:pStyle w:val="Heading1"/>
      </w:pPr>
      <w:r>
        <w:t>3. Ролевое распределение каналов дистрибуции контента</w:t>
      </w:r>
    </w:p>
    <w:p>
      <w:r>
        <w:t>Каждый информационный канал выполняет строго определенную функцию в экосистеме доверия:</w:t>
        <w:br/>
        <w:t>1. Официальный сайт (Канонический первоисточник): фиксирует авторство, содержит полные спецификации и отдает машиночитаемую микроразметку Schema.org.</w:t>
        <w:br/>
        <w:t>2. Деловые медиа (VC, Habr, РБК): формируют внешние авторитетные сигналы цитируемости (E-E-A-T) для больших языковых моделей.</w:t>
        <w:br/>
        <w:t>3. Профессиональные сети (TenChat, Telegram): обеспечивают быстрый сбор обратной связи, обсуждение трендов и прямое вовлечение отраслевого сообщества.</w:t>
      </w:r>
    </w:p>
    <w:p>
      <w:pPr>
        <w:pStyle w:val="Heading1"/>
      </w:pPr>
      <w:r>
        <w:t>4. Сегментация лиц, принимающих решения (ЛПР)</w:t>
      </w:r>
    </w:p>
    <w:p>
      <w:r>
        <w:t>Контент дифференцируется под 3 ключевые роли заказчика:</w:t>
        <w:br/>
        <w:t>• Собственники и акционеры: фокус на сохранении капитала, стратегической безопасности и капитализации бизнеса.</w:t>
        <w:br/>
        <w:t>• Генеральные директора: фокус на снятии личной ответственности, управляемости процессов и соблюдении нормативов.</w:t>
        <w:br/>
        <w:t>• Профильные руководители (финансы, IT, закупки): фокус на регламентах, надежности интеграций и прозрачности смет.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