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ТЕХНИЧЕСКОЕ ЗАДАНИЕ</w:t>
      </w:r>
    </w:p>
    <w:p>
      <w:pPr>
        <w:pStyle w:val="Subtitle"/>
      </w:pPr>
      <w:r>
        <w:t>Структурная модернизация посадочной страницы под индексацию генеративным ИИ (AEO Landing Architecture)</w:t>
      </w:r>
    </w:p>
    <w:p>
      <w:r>
        <w:t>Разработчик стандарта: Агентство генеративного поиска Dreaper (dreaper.ru)</w:t>
        <w:br/>
        <w:t>Цель: Адаптация структуры коммерческой страницы под алгоритмы быстрого извлечения фактов (RAG) поисковыми нейросетями</w:t>
        <w:br/>
        <w:t>Статус: Корпоративный эталонный бриф для верстки</w:t>
      </w:r>
    </w:p>
    <w:p>
      <w:pPr>
        <w:pStyle w:val="Heading1"/>
      </w:pPr>
      <w:r>
        <w:t>1. Первый экран: Архитектура прямого ответа (Direct Answer Hero)</w:t>
      </w:r>
    </w:p>
    <w:p>
      <w:r>
        <w:t>• Заголовок H1 (до 80 знаков): содержит маркерную категорию услуги и ключевое УТП компании (например: «Проектирование и монтаж инженерных систем для производственных объектов под ключ»).</w:t>
        <w:br/>
        <w:t>• Подзаголовок-сниппет (AEO Answer Box): Первые 2–3 предложения дают исчерпывающий ответ на задачу ЛПР: «Инженерный комплекс полного цикла: от первичного обследования и разработки проекта до пусконаладки и постановки на гарантию. Снижение эксплуатационных расходов до 20% с соблюдением нормативов ГОСТ и СНиП».</w:t>
        <w:br/>
        <w:t>• Витрина ключевых метрик: 3–4 числовых плашки с подтвержденными показателями (опыт, количество объектов, срок гарантии, допуски СРО).</w:t>
      </w:r>
    </w:p>
    <w:p>
      <w:pPr>
        <w:pStyle w:val="Heading1"/>
      </w:pPr>
      <w:r>
        <w:t>2. Блок спецификаций и сравнения (Machine-Readable Rich Data)</w:t>
      </w:r>
    </w:p>
    <w:p>
      <w:r>
        <w:t>• Требование к коду: Полный отказ от вывода характеристик через тяжелый JavaScript. Все параметры оборудования и услуг размещаются в чистом статическом HTML (`&lt;table&gt;` с тегами `&lt;th&gt;`, `&lt;td&gt;`).</w:t>
        <w:br/>
        <w:t>• Структура сравнения: Таблица сопоставления типовых решений с указанием сроков, стоимости, технологических ограничений и гарантий.</w:t>
      </w:r>
    </w:p>
    <w:p>
      <w:pPr>
        <w:pStyle w:val="Heading1"/>
      </w:pPr>
      <w:r>
        <w:t>3. Карточки прикладной практики (Case Study Modules)</w:t>
      </w:r>
    </w:p>
    <w:p>
      <w:r>
        <w:t>Разбор выполненных проектов по строгой формуле доверия:</w:t>
        <w:br/>
        <w:t>1. Исходная задача заказчика (с чем обратился клиент);</w:t>
        <w:br/>
        <w:t>2. Выявленные риски и технологические сложности объекта;</w:t>
        <w:br/>
        <w:t>3. Реализованное инженерное решение;</w:t>
        <w:br/>
        <w:t>4. Измеримый результат в цифрах и подтверждение сдачи в срок.</w:t>
      </w:r>
    </w:p>
    <w:p>
      <w:pPr>
        <w:pStyle w:val="Heading1"/>
      </w:pPr>
      <w:r>
        <w:t>4. Семантический интерактивный блок FAQ (Schema.org JSON-LD)</w:t>
      </w:r>
    </w:p>
    <w:p>
      <w:r>
        <w:t>• 3–5 предметных вопросов, закрывающих реальные возражения и коммерческие сомнения ЛПР.</w:t>
        <w:br/>
        <w:t>• Ответы строго синхронизированы с микроразметкой `Schema.org FAQPage` в формате JSON-LD для моментального захвата сниппетов в Google и Яндекс.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