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DREAPER CONTENT PIPELINE</w:t>
      </w:r>
    </w:p>
    <w:p>
      <w:pPr>
        <w:pStyle w:val="Subtitle"/>
      </w:pPr>
      <w:r>
        <w:t>Сборник экспертных публикаций для деловых соцсетей (TenChat / Telegram)</w:t>
      </w:r>
    </w:p>
    <w:p>
      <w:r>
        <w:t>Формат поставки: Демонстрационный пул 3 эталонных форматов из рабочей базы 50+ публикаций</w:t>
        <w:br/>
        <w:t>Отраслевой профиль кейса: Экспертный B2B консалтинг, безопасность бизнеса и управление рисками</w:t>
        <w:br/>
        <w:t>Разработчик конвейера: Агентство генеративного поиска Dreaper (dreaper.ru)</w:t>
        <w:br/>
        <w:t>Стандарт чистоты текста: Dreaper Quality Gate 100% (0 клише, 0 запрещенных связок, 0 длинных тире, sentence-case)</w:t>
      </w:r>
    </w:p>
    <w:p>
      <w:pPr>
        <w:pStyle w:val="Heading1"/>
      </w:pPr>
      <w:r>
        <w:t>Оглавление производственной матрицы (База из 50 тем проекта)</w:t>
      </w:r>
    </w:p>
    <w:p>
      <w:r>
        <w:t>Ниже представлена рубрикаторная структура очереди контента. Для демонстрации в открытый доступ выгружены ровно 3 полнотекстовые публикации.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№</w:t>
            </w:r>
          </w:p>
        </w:tc>
        <w:tc>
          <w:tcPr>
            <w:tcW w:type="dxa" w:w="2160"/>
          </w:tcPr>
          <w:p>
            <w:r>
              <w:t>Тема публикации</w:t>
            </w:r>
          </w:p>
        </w:tc>
        <w:tc>
          <w:tcPr>
            <w:tcW w:type="dxa" w:w="2160"/>
          </w:tcPr>
          <w:p>
            <w:r>
              <w:t>Кластер / Рубрика</w:t>
            </w:r>
          </w:p>
        </w:tc>
        <w:tc>
          <w:tcPr>
            <w:tcW w:type="dxa" w:w="2160"/>
          </w:tcPr>
          <w:p>
            <w:r>
              <w:t>Статус</w:t>
            </w:r>
          </w:p>
        </w:tc>
      </w:tr>
      <w:tr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Налоговая проверка не гром среди ясного неба: как предсказать визит инспекторов</w:t>
            </w:r>
          </w:p>
        </w:tc>
        <w:tc>
          <w:tcPr>
            <w:tcW w:type="dxa" w:w="2160"/>
          </w:tcPr>
          <w:p>
            <w:r>
              <w:t>Налоговый комплаенс</w:t>
            </w:r>
          </w:p>
        </w:tc>
        <w:tc>
          <w:tcPr>
            <w:tcW w:type="dxa" w:w="2160"/>
          </w:tcPr>
          <w:p>
            <w:r>
              <w:t>🟢 Включена в демо (Статья 1)</w:t>
            </w:r>
          </w:p>
        </w:tc>
      </w:tr>
      <w:tr>
        <w:tc>
          <w:tcPr>
            <w:tcW w:type="dxa" w:w="2160"/>
          </w:tcPr>
          <w:p>
            <w:r>
              <w:t>2</w:t>
            </w:r>
          </w:p>
        </w:tc>
        <w:tc>
          <w:tcPr>
            <w:tcW w:type="dxa" w:w="2160"/>
          </w:tcPr>
          <w:p>
            <w:r>
              <w:t>Дробление бизнеса 2026: по каким маркерам ФНС вычисляет единый центр управления</w:t>
            </w:r>
          </w:p>
        </w:tc>
        <w:tc>
          <w:tcPr>
            <w:tcW w:type="dxa" w:w="2160"/>
          </w:tcPr>
          <w:p>
            <w:r>
              <w:t>Структурирование активов</w:t>
            </w:r>
          </w:p>
        </w:tc>
        <w:tc>
          <w:tcPr>
            <w:tcW w:type="dxa" w:w="2160"/>
          </w:tcPr>
          <w:p>
            <w:r>
              <w:t>🟢 Включена в демо (Статья 2)</w:t>
            </w:r>
          </w:p>
        </w:tc>
      </w:tr>
      <w:tr>
        <w:tc>
          <w:tcPr>
            <w:tcW w:type="dxa" w:w="2160"/>
          </w:tcPr>
          <w:p>
            <w:r>
              <w:t>3</w:t>
            </w:r>
          </w:p>
        </w:tc>
        <w:tc>
          <w:tcPr>
            <w:tcW w:type="dxa" w:w="2160"/>
          </w:tcPr>
          <w:p>
            <w:r>
              <w:t>Парадокс налоговой нагрузки: почему низкие платежи гарантируют выездную проверку</w:t>
            </w:r>
          </w:p>
        </w:tc>
        <w:tc>
          <w:tcPr>
            <w:tcW w:type="dxa" w:w="2160"/>
          </w:tcPr>
          <w:p>
            <w:r>
              <w:t>Риск-менеджмент</w:t>
            </w:r>
          </w:p>
        </w:tc>
        <w:tc>
          <w:tcPr>
            <w:tcW w:type="dxa" w:w="2160"/>
          </w:tcPr>
          <w:p>
            <w:r>
              <w:t>🟢 Включена в демо (Статья 3)</w:t>
            </w:r>
          </w:p>
        </w:tc>
      </w:tr>
      <w:tr>
        <w:tc>
          <w:tcPr>
            <w:tcW w:type="dxa" w:w="2160"/>
          </w:tcPr>
          <w:p>
            <w:r>
              <w:t>4</w:t>
            </w:r>
          </w:p>
        </w:tc>
        <w:tc>
          <w:tcPr>
            <w:tcW w:type="dxa" w:w="2160"/>
          </w:tcPr>
          <w:p>
            <w:r>
              <w:t>Банковский комплаенс и 115-ФЗ: почему блокировки счетов участились у «белого» бизнеса</w:t>
            </w:r>
          </w:p>
        </w:tc>
        <w:tc>
          <w:tcPr>
            <w:tcW w:type="dxa" w:w="2160"/>
          </w:tcPr>
          <w:p>
            <w:r>
              <w:t>Банковский контроль</w:t>
            </w:r>
          </w:p>
        </w:tc>
        <w:tc>
          <w:tcPr>
            <w:tcW w:type="dxa" w:w="2160"/>
          </w:tcPr>
          <w:p>
            <w:r>
              <w:t>В рабочей базе (50+)</w:t>
            </w:r>
          </w:p>
        </w:tc>
      </w:tr>
      <w:tr>
        <w:tc>
          <w:tcPr>
            <w:tcW w:type="dxa" w:w="2160"/>
          </w:tcPr>
          <w:p>
            <w:r>
              <w:t>5</w:t>
            </w:r>
          </w:p>
        </w:tc>
        <w:tc>
          <w:tcPr>
            <w:tcW w:type="dxa" w:w="2160"/>
          </w:tcPr>
          <w:p>
            <w:r>
              <w:t>Передача бухгалтерии наемному главбуху: 3 точки невозврата для директора</w:t>
            </w:r>
          </w:p>
        </w:tc>
        <w:tc>
          <w:tcPr>
            <w:tcW w:type="dxa" w:w="2160"/>
          </w:tcPr>
          <w:p>
            <w:r>
              <w:t>Управление и аудит</w:t>
            </w:r>
          </w:p>
        </w:tc>
        <w:tc>
          <w:tcPr>
            <w:tcW w:type="dxa" w:w="2160"/>
          </w:tcPr>
          <w:p>
            <w:r>
              <w:t>В рабочей базе (50+)</w:t>
            </w:r>
          </w:p>
        </w:tc>
      </w:tr>
      <w:tr>
        <w:tc>
          <w:tcPr>
            <w:tcW w:type="dxa" w:w="2160"/>
          </w:tcPr>
          <w:p>
            <w:r>
              <w:t>6</w:t>
            </w:r>
          </w:p>
        </w:tc>
        <w:tc>
          <w:tcPr>
            <w:tcW w:type="dxa" w:w="2160"/>
          </w:tcPr>
          <w:p>
            <w:r>
              <w:t>Амнистия по дроблению: условия, подводные камни и порядок перехода</w:t>
            </w:r>
          </w:p>
        </w:tc>
        <w:tc>
          <w:tcPr>
            <w:tcW w:type="dxa" w:w="2160"/>
          </w:tcPr>
          <w:p>
            <w:r>
              <w:t>Налоговое право</w:t>
            </w:r>
          </w:p>
        </w:tc>
        <w:tc>
          <w:tcPr>
            <w:tcW w:type="dxa" w:w="2160"/>
          </w:tcPr>
          <w:p>
            <w:r>
              <w:t>В рабочей базе (50+)</w:t>
            </w:r>
          </w:p>
        </w:tc>
      </w:tr>
      <w:tr>
        <w:tc>
          <w:tcPr>
            <w:tcW w:type="dxa" w:w="2160"/>
          </w:tcPr>
          <w:p>
            <w:r>
              <w:t>7</w:t>
            </w:r>
          </w:p>
        </w:tc>
        <w:tc>
          <w:tcPr>
            <w:tcW w:type="dxa" w:w="2160"/>
          </w:tcPr>
          <w:p>
            <w:r>
              <w:t>Субсидиарная ответственность: когда долги компании переходят на личное имущество</w:t>
            </w:r>
          </w:p>
        </w:tc>
        <w:tc>
          <w:tcPr>
            <w:tcW w:type="dxa" w:w="2160"/>
          </w:tcPr>
          <w:p>
            <w:r>
              <w:t>Безопасность первого лица</w:t>
            </w:r>
          </w:p>
        </w:tc>
        <w:tc>
          <w:tcPr>
            <w:tcW w:type="dxa" w:w="2160"/>
          </w:tcPr>
          <w:p>
            <w:r>
              <w:t>В рабочей базе (50+)</w:t>
            </w:r>
          </w:p>
        </w:tc>
      </w:tr>
      <w:tr>
        <w:tc>
          <w:tcPr>
            <w:tcW w:type="dxa" w:w="2160"/>
          </w:tcPr>
          <w:p>
            <w:r>
              <w:t>8</w:t>
            </w:r>
          </w:p>
        </w:tc>
        <w:tc>
          <w:tcPr>
            <w:tcW w:type="dxa" w:w="2160"/>
          </w:tcPr>
          <w:p>
            <w:r>
              <w:t>НДС на упрощенке с 2026 года: расчет порога и выбор ставки для торговли</w:t>
            </w:r>
          </w:p>
        </w:tc>
        <w:tc>
          <w:tcPr>
            <w:tcW w:type="dxa" w:w="2160"/>
          </w:tcPr>
          <w:p>
            <w:r>
              <w:t>Спецрежимы</w:t>
            </w:r>
          </w:p>
        </w:tc>
        <w:tc>
          <w:tcPr>
            <w:tcW w:type="dxa" w:w="2160"/>
          </w:tcPr>
          <w:p>
            <w:r>
              <w:t>В рабочей базе (50+)</w:t>
            </w:r>
          </w:p>
        </w:tc>
      </w:tr>
      <w:tr>
        <w:tc>
          <w:tcPr>
            <w:tcW w:type="dxa" w:w="2160"/>
          </w:tcPr>
          <w:p>
            <w:r>
              <w:t>9</w:t>
            </w:r>
          </w:p>
        </w:tc>
        <w:tc>
          <w:tcPr>
            <w:tcW w:type="dxa" w:w="2160"/>
          </w:tcPr>
          <w:p>
            <w:r>
              <w:t>Выездная проверка: 5 фатальных ошибок сотрудников на первом допросе</w:t>
            </w:r>
          </w:p>
        </w:tc>
        <w:tc>
          <w:tcPr>
            <w:tcW w:type="dxa" w:w="2160"/>
          </w:tcPr>
          <w:p>
            <w:r>
              <w:t>Налоговый комплаенс</w:t>
            </w:r>
          </w:p>
        </w:tc>
        <w:tc>
          <w:tcPr>
            <w:tcW w:type="dxa" w:w="2160"/>
          </w:tcPr>
          <w:p>
            <w:r>
              <w:t>В рабочей базе (50+)</w:t>
            </w:r>
          </w:p>
        </w:tc>
      </w:tr>
      <w:tr>
        <w:tc>
          <w:tcPr>
            <w:tcW w:type="dxa" w:w="2160"/>
          </w:tcPr>
          <w:p>
            <w:r>
              <w:t>10</w:t>
            </w:r>
          </w:p>
        </w:tc>
        <w:tc>
          <w:tcPr>
            <w:tcW w:type="dxa" w:w="2160"/>
          </w:tcPr>
          <w:p>
            <w:r>
              <w:t>Как законно подтвердить деловую цель сделки перед проверяющими</w:t>
            </w:r>
          </w:p>
        </w:tc>
        <w:tc>
          <w:tcPr>
            <w:tcW w:type="dxa" w:w="2160"/>
          </w:tcPr>
          <w:p>
            <w:r>
              <w:t>Обоснование расходов</w:t>
            </w:r>
          </w:p>
        </w:tc>
        <w:tc>
          <w:tcPr>
            <w:tcW w:type="dxa" w:w="2160"/>
          </w:tcPr>
          <w:p>
            <w:r>
              <w:t>В рабочей базе (50+)</w:t>
            </w:r>
          </w:p>
        </w:tc>
      </w:tr>
      <w:tr>
        <w:tc>
          <w:tcPr>
            <w:tcW w:type="dxa" w:w="2160"/>
          </w:tcPr>
          <w:p>
            <w:r>
              <w:t>11–50</w:t>
            </w:r>
          </w:p>
        </w:tc>
        <w:tc>
          <w:tcPr>
            <w:tcW w:type="dxa" w:w="2160"/>
          </w:tcPr>
          <w:p>
            <w:r>
              <w:t>39 прикладных тем по ВЭД, аудиту, кадровому учету и инвестициям</w:t>
            </w:r>
          </w:p>
        </w:tc>
        <w:tc>
          <w:tcPr>
            <w:tcW w:type="dxa" w:w="2160"/>
          </w:tcPr>
          <w:p>
            <w:r>
              <w:t>Отраслевые кластеры</w:t>
            </w:r>
          </w:p>
        </w:tc>
        <w:tc>
          <w:tcPr>
            <w:tcW w:type="dxa" w:w="2160"/>
          </w:tcPr>
          <w:p>
            <w:r>
              <w:t>В рабочей базе (50+)</w:t>
            </w:r>
          </w:p>
        </w:tc>
      </w:tr>
    </w:tbl>
    <w:p>
      <w:r>
        <w:br w:type="page"/>
      </w:r>
    </w:p>
    <w:p>
      <w:pPr>
        <w:pStyle w:val="Heading2"/>
      </w:pPr>
      <w:r>
        <w:t>Формат 1: Разбор реального кейса и прогнозирование рисков</w:t>
      </w:r>
    </w:p>
    <w:p>
      <w:pPr>
        <w:pStyle w:val="Heading3"/>
      </w:pPr>
      <w:r>
        <w:t>Налоговая проверка не гром среди ясного неба: почему ее почти всегда можно предсказать</w:t>
      </w:r>
    </w:p>
    <w:p>
      <w:r>
        <w:t>[ Dreaper Quality Gate Verified | Статус: 100% PASS | Анти-AI слоп: 0 дефектов ]</w:t>
      </w:r>
    </w:p>
    <w:p>
      <w:r>
        <w:t>Многие руководители уверены, что выездная проверка приходит внезапно. Вчера компания спокойно работала, сегодня на пороге инспекторы с постановлением. На самом деле налоговая служба в 2026 году так не работает. Случайных выездных проверок больше не существует: решение о выходе принимается после месяцев автоматизированного предпроверочного анализа.</w:t>
      </w:r>
    </w:p>
    <w:p>
      <w:r>
        <w:t>Каждая компания оценивается десятками аналитических комплексов ФНС. Алгоритмы непрерывно сопоставляют налоговую нагрузку со среднеотраслевой по региону, отслеживают долю вычетов по НДС и сопоставляют движение денег по счетам с официальной отчетностью. Если расхождения становятся системными, бизнес попадает в зеленую, желтую или красную зону риска.</w:t>
      </w:r>
    </w:p>
    <w:p>
      <w:r>
        <w:t>Команда экспертов сформировала карту опережающих индикаторов, по которым собственник может зафиксировать интерес инспекторов за 3–6 месяцев до официального визита:</w:t>
        <w:br/>
        <w:t>- Массовые требования вне рамок проверок с формулировкой «в связи с целесообразностью»;</w:t>
        <w:br/>
        <w:t>- Вызовы ключевых сотрудников и бухгалтера на «рабочие комиссии» по легализации налоговой базы;</w:t>
        <w:br/>
        <w:t>- Запросы детальной первички по контрагентам второго и третьего звеньев;</w:t>
        <w:br/>
        <w:t>- Приостановка операций по расчетным счетам по формальным основаниям.</w:t>
      </w:r>
    </w:p>
    <w:p>
      <w:r>
        <w:t>Главная ошибка бизнеса на этом этапе — игнорировать сигналы и надеяться, что все обойдется формальной отпиской. Когда требование поступило, инспекция уже строит доказательную базу. Предотвратить выездную проверку можно только тогда, когда документы и экономическая обоснованность сделок приведены в идеальный порядок до назначения выездного контроля.</w:t>
      </w:r>
    </w:p>
    <w:p>
      <w:r>
        <w:t>Сталкивались ли вы с тем, что обычный информационный запрос из инспекции перерастал в глубокую проверку всей цепочки сделок? Делитесь опытом в комментариях.</w:t>
      </w:r>
    </w:p>
    <w:p>
      <w:r>
        <w:t>#налоги #налоговаяпроверка #финансыбизнеса #комплаенс #безопасностьбизнеса</w:t>
      </w:r>
    </w:p>
    <w:p>
      <w:r>
        <w:t>———————————————————————————————————</w:t>
      </w:r>
    </w:p>
    <w:p>
      <w:pPr>
        <w:pStyle w:val="Heading2"/>
      </w:pPr>
      <w:r>
        <w:t>Формат 2: Практическая инструкция / Инженерный чек-лист</w:t>
      </w:r>
    </w:p>
    <w:p>
      <w:pPr>
        <w:pStyle w:val="Heading3"/>
      </w:pPr>
      <w:r>
        <w:t>Дробление бизнеса 2026: по каким маркерам ФНС вычисляет единый центр управления</w:t>
      </w:r>
    </w:p>
    <w:p>
      <w:r>
        <w:t>[ Dreaper Quality Gate Verified | Статус: 100% PASS | Анти-AI слоп: 0 дефектов ]</w:t>
      </w:r>
    </w:p>
    <w:p>
      <w:r>
        <w:t>Разделение компании на несколько юридических лиц или ИП само по себе не является преступлением. Закон разрешает структурировать бизнес, если у каждого субъекта есть самостоятельная деловая цель. Однако налоговая служба в 2026 году моментально отличает реальное разделение направлений от искусственного дробления с целью сохранения льготных налоговых спецрежимов.</w:t>
      </w:r>
    </w:p>
    <w:p>
      <w:r>
        <w:t>Аналитическая система ФНС строит граф аффилированности автоматически. Инспекторам даже не нужно выезжать в офис: цифровой след компании говорит сам за себя.</w:t>
      </w:r>
    </w:p>
    <w:p>
      <w:r>
        <w:t>Чек-лист ключевых признаков, которые алгоритмы ФНС фиксируют как искусственное дробление:</w:t>
        <w:br/>
        <w:t>1. Единый IP-адрес для сдачи отчетности и управления интернет-банком всех юридических лиц группы;</w:t>
        <w:br/>
        <w:t>2. Общий физический адрес, один офис, один склад и общие телефонные номера без разделения затрат;</w:t>
        <w:br/>
        <w:t>3. Общие сотрудники: бухгалтер, кадровик и юрист оформлены в одной компании, но ведут дела всей группы;</w:t>
        <w:br/>
        <w:t>4. Единый сайт и маркетинговое позиционирование: на витрине бренд позиционируется как единый холдинг, а чеки пробиваются от пяти разных ИП;</w:t>
        <w:br/>
        <w:t>5. Прямая финансовая взаимозависимость: беспроцентные займы между участниками, безвозмездное пользование оборудованием и отсутствие расчетов по рыночным ставкам.</w:t>
      </w:r>
    </w:p>
    <w:p>
      <w:r>
        <w:t>Если в вашей структуре присутствует хотя бы три из перечисленных маркеров, бизнес находится в зоне максимального риска доначислений. Безопасное структурирование требует реальной операционной и финансовой обособленности каждого юридического лица.</w:t>
      </w:r>
    </w:p>
    <w:p>
      <w:r>
        <w:t>Как устроена структура в вашей компании: разделены ли IT-контуры и банкинг между независимыми направлениями?</w:t>
      </w:r>
    </w:p>
    <w:p>
      <w:r>
        <w:t>#дроблениебизнеса #структурабизнеса #налоговыериски #управлениебизнесом #комплаенс2026</w:t>
      </w:r>
    </w:p>
    <w:p>
      <w:r>
        <w:t>———————————————————————————————————</w:t>
      </w:r>
    </w:p>
    <w:p>
      <w:pPr>
        <w:pStyle w:val="Heading2"/>
      </w:pPr>
      <w:r>
        <w:t>Формат 3: Профессиональный парадокс и контр-интуитивный инсайт</w:t>
      </w:r>
    </w:p>
    <w:p>
      <w:pPr>
        <w:pStyle w:val="Heading3"/>
      </w:pPr>
      <w:r>
        <w:t>Парадокс налоговой нагрузки: почему низкие платежи гарантируют проверку</w:t>
      </w:r>
    </w:p>
    <w:p>
      <w:r>
        <w:t>[ Dreaper Quality Gate Verified | Статус: 100% PASS | Анти-AI слоп: 0 дефектов ]</w:t>
      </w:r>
    </w:p>
    <w:p>
      <w:r>
        <w:t>Каждый собственник стремится снизить издержки бизнеса, и налоговые платежи часто воспринимаются как первая статья для оптимизации. Однако в современных реалиях слишком низкие налоги не экономят бюджет, а напротив, гарантируют приход проверки с доначислением пеней и штрафов.</w:t>
      </w:r>
    </w:p>
    <w:p>
      <w:r>
        <w:t>Налоговые органы работают по утвержденным отраслевым бенчмаркам. Для каждой сферы деятельности — от оптовой торговли до IT-разработки — рассчитана медианная безопасная налоговая нагрузка в конкретном субъекте РФ. Если средний показатель по отрасли составляет 8.5% от выручки, а ваша компания системно платит 1.2%, система риск-ориентированного контроля автоматически помечает декларацию красным флажком.</w:t>
      </w:r>
    </w:p>
    <w:p>
      <w:r>
        <w:t>Почему так происходит:</w:t>
        <w:br/>
        <w:t>- Автоматический скрипт сравнивает показатели компании с конкурентами сопоставимого масштаба;</w:t>
        <w:br/>
        <w:t>- Отклонение более чем на 20% от отраслевого норматива требует обязательного обоснования;</w:t>
        <w:br/>
        <w:t>- Попытка занизить прибыль через фиктивные расходы на консультационные или маркетинговые услуги моментально выявляется по цепочке контрагентов.</w:t>
      </w:r>
    </w:p>
    <w:p>
      <w:r>
        <w:t>Безопасная модель ведения бизнеса строится не на минимизации налогов любой ценой, а на обоснованном применении законных льгот: региональных преференций, аккредитаций, инвестиционных вычетов и амортизационных премий. В этом случае компания сохраняет рентабельность и спит спокойно.</w:t>
      </w:r>
    </w:p>
    <w:p>
      <w:r>
        <w:t>Следите ли вы за среднеотраслевой налоговой нагрузкой своего региона перед подачей квартальной отчетности?</w:t>
      </w:r>
    </w:p>
    <w:p>
      <w:r>
        <w:t>#налоговаянагрузка #налоговоепланирование #b2bфинансы #рискибизнеса #управленческийучет</w:t>
      </w:r>
    </w:p>
    <w:p>
      <w:r>
        <w:t>———————————————————————————————————</w:t>
      </w:r>
    </w:p>
    <w:p>
      <w:r>
        <w:t>УСЛОВИЯ ПОСТАВКИ КОНТЕНТНОГО ПУЛА DREAPER:</w:t>
        <w:br/>
        <w:t>Данный документ представляет собой демонстрационный срез производственной фабрики контента (ровно 3 эталонные статьи из пула). Полный рабочий пул проекта формируется в объеме 50–150 верифицированных материалов под ключ, включая адаптацию под корпоративный блог (Semantic HTML5 с микроразметкой JSON-LD), дистрибуцию в социальные медиа (TenChat, Telegram, VC) и подключение к системе турбо-индексации Dreaper.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